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9104F" w14:textId="314EEFB5" w:rsidR="00693119" w:rsidRPr="00C2552A" w:rsidRDefault="001B6D23" w:rsidP="004040E5">
      <w:pPr>
        <w:pStyle w:val="Tytu"/>
        <w:spacing w:before="0" w:line="276" w:lineRule="auto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4040E5">
      <w:pPr>
        <w:spacing w:line="276" w:lineRule="auto"/>
        <w:rPr>
          <w:rFonts w:ascii="Open Sans Light" w:hAnsi="Open Sans Light" w:cs="Open Sans Light"/>
        </w:rPr>
      </w:pPr>
    </w:p>
    <w:p w14:paraId="357B944A" w14:textId="27FA2DDD" w:rsidR="008F049C" w:rsidRPr="00C2552A" w:rsidRDefault="00E83768" w:rsidP="004040E5">
      <w:pPr>
        <w:pStyle w:val="Tytu"/>
        <w:spacing w:before="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  <w:r w:rsidR="004040E5">
        <w:rPr>
          <w:rFonts w:ascii="Open Sans Light" w:hAnsi="Open Sans Light" w:cs="Open Sans Light"/>
        </w:rPr>
        <w:br/>
      </w:r>
      <w:r w:rsidR="000E0D1E"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4040E5">
      <w:pPr>
        <w:spacing w:line="276" w:lineRule="auto"/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4040E5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5ED816D3" w:rsidR="0063566D" w:rsidRPr="00C2552A" w:rsidRDefault="00067107" w:rsidP="004040E5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>
        <w:rPr>
          <w:rFonts w:ascii="Open Sans Light" w:hAnsi="Open Sans Light" w:cs="Open Sans Light"/>
          <w:b/>
          <w:bCs/>
          <w:sz w:val="36"/>
          <w:szCs w:val="36"/>
        </w:rPr>
        <w:t>Etap</w:t>
      </w:r>
      <w:r w:rsidR="0063566D"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="0063566D"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4040E5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8A7CEBA" w14:textId="77777777" w:rsidR="006556C8" w:rsidRDefault="008F049C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 w:rsidR="006556C8">
        <w:rPr>
          <w:rFonts w:ascii="Open Sans Light" w:hAnsi="Open Sans Light" w:cs="Open Sans Light"/>
          <w:sz w:val="22"/>
          <w:szCs w:val="22"/>
        </w:rPr>
        <w:t>2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6556C8"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3A3F37C" w14:textId="02784256" w:rsidR="00021A0C" w:rsidRPr="006556C8" w:rsidRDefault="0076363B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</w:t>
      </w:r>
      <w:r w:rsidR="005F22E6" w:rsidRPr="006556C8">
        <w:rPr>
          <w:rFonts w:ascii="Open Sans Light" w:hAnsi="Open Sans Light" w:cs="Open Sans Light"/>
          <w:sz w:val="22"/>
          <w:szCs w:val="22"/>
        </w:rPr>
        <w:t>:</w:t>
      </w:r>
      <w:r w:rsidR="006556C8" w:rsidRPr="006556C8">
        <w:rPr>
          <w:rFonts w:ascii="Open Sans Light" w:hAnsi="Open Sans Light" w:cs="Open Sans Light"/>
          <w:sz w:val="22"/>
          <w:szCs w:val="22"/>
        </w:rPr>
        <w:t xml:space="preserve"> FENX.02.01 Infrastruktura ciepłownicza</w:t>
      </w:r>
    </w:p>
    <w:p w14:paraId="13C09D50" w14:textId="14867434" w:rsidR="00021A0C" w:rsidRPr="006556C8" w:rsidRDefault="006556C8" w:rsidP="004040E5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F5FC18E" w14:textId="77777777" w:rsidR="0076363B" w:rsidRPr="00C2552A" w:rsidRDefault="0076363B" w:rsidP="004040E5">
      <w:pPr>
        <w:spacing w:line="276" w:lineRule="auto"/>
        <w:rPr>
          <w:rFonts w:ascii="Open Sans Light" w:hAnsi="Open Sans Light" w:cs="Open Sans Light"/>
        </w:rPr>
      </w:pPr>
    </w:p>
    <w:p w14:paraId="663A1B39" w14:textId="17C89B99" w:rsidR="006556C8" w:rsidRDefault="000E0D1E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556C8">
        <w:rPr>
          <w:rFonts w:ascii="Open Sans Light" w:hAnsi="Open Sans Light" w:cs="Open Sans Light"/>
        </w:rPr>
        <w:t>konkurencyjny</w:t>
      </w:r>
    </w:p>
    <w:p w14:paraId="779146F7" w14:textId="74D7AC36" w:rsidR="008F049C" w:rsidRDefault="006556C8" w:rsidP="004040E5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94445B">
        <w:rPr>
          <w:rFonts w:ascii="Open Sans Light" w:hAnsi="Open Sans Light" w:cs="Open Sans Light"/>
        </w:rPr>
        <w:t>4</w:t>
      </w:r>
    </w:p>
    <w:p w14:paraId="7D1AACAD" w14:textId="77777777" w:rsidR="006556C8" w:rsidRPr="00C2552A" w:rsidRDefault="006556C8" w:rsidP="004040E5">
      <w:pPr>
        <w:spacing w:line="276" w:lineRule="auto"/>
        <w:rPr>
          <w:rFonts w:ascii="Open Sans Light" w:hAnsi="Open Sans Light" w:cs="Open Sans Light"/>
        </w:rPr>
      </w:pPr>
    </w:p>
    <w:p w14:paraId="1B5C5E87" w14:textId="77777777" w:rsidR="005E412B" w:rsidRPr="00C2552A" w:rsidRDefault="005E412B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1BC009BD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="006556C8"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2C9B52D9" w14:textId="37850835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 w:rsidR="006556C8"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</w:t>
      </w:r>
      <w:r w:rsidR="006556C8"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04F6271D" w14:textId="77777777" w:rsidR="006556C8" w:rsidRDefault="00C82E55" w:rsidP="004040E5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</w:p>
    <w:p w14:paraId="114A9741" w14:textId="5DCABD1E" w:rsidR="00C82E55" w:rsidRDefault="006556C8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45C609D4" w14:textId="77777777" w:rsidR="006556C8" w:rsidRPr="00C2552A" w:rsidRDefault="006556C8" w:rsidP="004040E5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5C0B18FB" w:rsidR="000A3010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6556C8"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1299D32E" w14:textId="43BE37A6" w:rsidR="004040E5" w:rsidRDefault="004040E5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br w:type="page"/>
      </w:r>
    </w:p>
    <w:p w14:paraId="4B9361DC" w14:textId="0C61024E" w:rsidR="00532415" w:rsidRPr="00D44DC8" w:rsidRDefault="00592FE4" w:rsidP="004040E5">
      <w:pPr>
        <w:spacing w:line="276" w:lineRule="auto"/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o dofinansowanie)</w:t>
      </w:r>
      <w:r w:rsidR="001F7AEC">
        <w:rPr>
          <w:rStyle w:val="Odwoanieprzypisudolnego"/>
          <w:rFonts w:ascii="Open Sans Light" w:hAnsi="Open Sans Light" w:cs="Open Sans Light"/>
          <w:b/>
          <w:sz w:val="20"/>
          <w:szCs w:val="20"/>
        </w:rPr>
        <w:footnoteReference w:id="1"/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4040E5">
      <w:pPr>
        <w:spacing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2B7CE356" w:rsidR="00A24CF0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2.</w:t>
      </w:r>
      <w:bookmarkEnd w:id="1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 składającymi się na spełnienie </w:t>
      </w:r>
      <w:r w:rsidRPr="00D44DC8">
        <w:rPr>
          <w:rFonts w:ascii="Open Sans Light" w:hAnsi="Open Sans Light" w:cs="Open Sans Light"/>
          <w:b/>
          <w:sz w:val="20"/>
          <w:szCs w:val="20"/>
        </w:rPr>
        <w:t>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DA6CB7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089339A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DA6CB7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DA6CB7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4040E5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B8369EF" w14:textId="12867D11" w:rsidR="00805807" w:rsidRPr="00D44DC8" w:rsidRDefault="00805807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3.</w:t>
      </w:r>
      <w:bookmarkEnd w:id="2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4040E5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4040E5">
            <w:pPr>
              <w:pStyle w:val="Tekstkomentarza"/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4040E5">
      <w:pPr>
        <w:spacing w:line="276" w:lineRule="auto"/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38EBB0C4" w:rsidR="00433A0C" w:rsidRPr="00D44DC8" w:rsidRDefault="00246485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nr 4. </w:t>
      </w:r>
      <w:r w:rsidRPr="00D44DC8">
        <w:rPr>
          <w:rFonts w:ascii="Open Sans Light" w:hAnsi="Open Sans Light" w:cs="Open Sans Light"/>
          <w:b/>
          <w:sz w:val="20"/>
          <w:szCs w:val="20"/>
        </w:rPr>
        <w:t>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4040E5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E662C36" w14:textId="23B9EB1F" w:rsidR="006C230D" w:rsidRPr="006556C8" w:rsidRDefault="006C230D" w:rsidP="006556C8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590B2D7D" w:rsidR="00AF5C56" w:rsidRPr="00D44DC8" w:rsidRDefault="00246485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>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4040E5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E3CE648" w14:textId="354A7483" w:rsidR="00EB715F" w:rsidRPr="00D44DC8" w:rsidRDefault="00EB71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2835DE67" w:rsidR="006114C6" w:rsidRPr="00D44DC8" w:rsidRDefault="00D836AC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bookmarkEnd w:id="3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Wnioskodawca nie podlega wykluczeniu z ubiegania się 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4040E5">
            <w:pPr>
              <w:spacing w:line="276" w:lineRule="auto"/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2E946308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</w:t>
            </w:r>
          </w:p>
          <w:p w14:paraId="71CC5A0A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</w:t>
            </w:r>
          </w:p>
          <w:p w14:paraId="787C549D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- art. 12 ust. 1 pkt 1 ustawy z dnia 15 czerwca 2012 r. o skutkach powierzania wykonywania pracy cudzoziemcom przebywającym wbrew przepisom na terytorium Rzeczypospolitej Polskiej (Dz. U. z 2021 poz. 1745); TAK/NIE </w:t>
            </w:r>
          </w:p>
          <w:p w14:paraId="261BA5B5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art.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28 października 2002 r. o odpowiedzialności podmiotów zbiorowych za czyny zabronione pod groźbą k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</w:t>
            </w:r>
          </w:p>
          <w:p w14:paraId="05D507AE" w14:textId="6A3C4B24" w:rsidR="006114C6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lub nie zakazane zostało udzielanie bezpośredniego lub pośredniego wsparcia ze środków unijnych na podstawie art 1 ustawy z dnia 13 kwie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 szczególnych rozwiązaniach w zakresie przeciwdziałania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E01B14" w14:textId="1B32C8D6" w:rsidR="00F5757B" w:rsidRPr="00D44DC8" w:rsidRDefault="00F5757B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0BABB91" w:rsidR="00840C16" w:rsidRPr="00D44DC8" w:rsidRDefault="0075553E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4040E5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Sprawdzane są odpowiedzi wnioskodawcy na 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536"/>
        <w:gridCol w:w="1134"/>
        <w:gridCol w:w="2551"/>
      </w:tblGrid>
      <w:tr w:rsidR="00EC00EE" w:rsidRPr="00EC00EE" w14:paraId="7CC39E3B" w14:textId="77777777" w:rsidTr="00EC00EE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C7B00" w14:textId="77777777" w:rsidR="00EC00EE" w:rsidRPr="00EC00EE" w:rsidRDefault="00EC00EE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5" w:name="_Hlk183524019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799FF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BB429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B71A5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EC00EE" w:rsidRPr="00EC00EE" w14:paraId="692F151A" w14:textId="77777777" w:rsidTr="00EC00EE">
        <w:trPr>
          <w:trHeight w:val="544"/>
        </w:trPr>
        <w:tc>
          <w:tcPr>
            <w:tcW w:w="993" w:type="dxa"/>
            <w:vAlign w:val="center"/>
          </w:tcPr>
          <w:p w14:paraId="779A2EB9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70FF619F" w14:textId="77777777" w:rsidR="00EC00EE" w:rsidRPr="00EC00EE" w:rsidRDefault="00EC00EE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1050F8B1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D614F62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C00EE" w:rsidRPr="00EC00EE" w14:paraId="3A938F9C" w14:textId="77777777" w:rsidTr="00EC00EE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E49709E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27245FF" w14:textId="77777777" w:rsidR="00EC00EE" w:rsidRPr="00EC00EE" w:rsidRDefault="00EC00EE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F4375B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FC714E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5"/>
    </w:tbl>
    <w:p w14:paraId="45EB5E84" w14:textId="75122EB6" w:rsidR="005F22E6" w:rsidRPr="00EC00EE" w:rsidRDefault="005F22E6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E2EBCC4" w14:textId="77777777" w:rsidR="00EC00EE" w:rsidRPr="00EC00EE" w:rsidRDefault="00EC00EE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195B98E" w14:textId="77777777" w:rsidR="005F22E6" w:rsidRPr="00EC00EE" w:rsidRDefault="005F22E6" w:rsidP="004040E5">
      <w:pPr>
        <w:tabs>
          <w:tab w:val="left" w:pos="8820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b/>
          <w:sz w:val="22"/>
          <w:szCs w:val="22"/>
        </w:rPr>
        <w:t>Decyzja</w:t>
      </w:r>
      <w:r w:rsidR="00CF15A0" w:rsidRPr="00EC00EE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  <w:r w:rsidRPr="00EC00EE">
        <w:rPr>
          <w:rFonts w:ascii="Open Sans" w:hAnsi="Open Sans" w:cs="Open Sans"/>
          <w:sz w:val="22"/>
          <w:szCs w:val="22"/>
        </w:rPr>
        <w:t>..................................………………………………………………………………………</w:t>
      </w:r>
      <w:r w:rsidRPr="00EC00EE">
        <w:rPr>
          <w:rFonts w:ascii="Open Sans" w:hAnsi="Open Sans" w:cs="Open Sans"/>
          <w:sz w:val="22"/>
          <w:szCs w:val="22"/>
        </w:rPr>
        <w:br/>
      </w:r>
    </w:p>
    <w:p w14:paraId="17FC60FE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Imię i nazwisko osoby oceniającej: …………………………</w:t>
      </w:r>
    </w:p>
    <w:p w14:paraId="4821B309" w14:textId="77777777" w:rsidR="00900204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Data :</w:t>
      </w:r>
      <w:r w:rsidRPr="00EC00EE">
        <w:rPr>
          <w:rFonts w:ascii="Open Sans" w:hAnsi="Open Sans" w:cs="Open Sans"/>
          <w:sz w:val="22"/>
          <w:szCs w:val="22"/>
        </w:rPr>
        <w:tab/>
        <w:t>…………………………..</w:t>
      </w:r>
    </w:p>
    <w:p w14:paraId="4FDE340A" w14:textId="77777777" w:rsidR="00900204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Podpis:…………………………..</w:t>
      </w:r>
    </w:p>
    <w:p w14:paraId="1A7F4052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ED357B8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CD8DDB9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Imię i nazwisko osoby weryfikującej: …………………………</w:t>
      </w:r>
    </w:p>
    <w:p w14:paraId="16BEDEAC" w14:textId="77777777" w:rsidR="00900204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Data :</w:t>
      </w:r>
      <w:r w:rsidRPr="00EC00EE">
        <w:rPr>
          <w:rFonts w:ascii="Open Sans" w:hAnsi="Open Sans" w:cs="Open Sans"/>
          <w:sz w:val="22"/>
          <w:szCs w:val="22"/>
        </w:rPr>
        <w:tab/>
        <w:t>…………………………..</w:t>
      </w:r>
    </w:p>
    <w:p w14:paraId="33712582" w14:textId="77777777" w:rsidR="005F22E6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Podpis:…………………………..</w:t>
      </w:r>
      <w:r w:rsidR="005F22E6" w:rsidRPr="00EC00EE">
        <w:rPr>
          <w:rFonts w:ascii="Open Sans" w:hAnsi="Open Sans" w:cs="Open Sans"/>
          <w:sz w:val="22"/>
          <w:szCs w:val="22"/>
        </w:rPr>
        <w:tab/>
      </w:r>
    </w:p>
    <w:p w14:paraId="16B8A879" w14:textId="66BC05B6" w:rsidR="00E83768" w:rsidRPr="00EC00EE" w:rsidRDefault="00EC00EE" w:rsidP="00EC00EE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bookmarkStart w:id="6" w:name="_Hlk183524010"/>
      <w:r w:rsidRPr="00EC00EE">
        <w:rPr>
          <w:rFonts w:ascii="Open Sans" w:hAnsi="Open Sans" w:cs="Open Sans"/>
          <w:b/>
          <w:sz w:val="22"/>
        </w:rPr>
        <w:t>Uwagi/informacje dodatkowe (jeśli dotyczy):</w:t>
      </w:r>
      <w:bookmarkEnd w:id="6"/>
    </w:p>
    <w:sectPr w:rsidR="00E83768" w:rsidRPr="00EC00EE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694AB" w14:textId="77777777" w:rsidR="000F07E2" w:rsidRDefault="000F07E2">
      <w:r>
        <w:separator/>
      </w:r>
    </w:p>
  </w:endnote>
  <w:endnote w:type="continuationSeparator" w:id="0">
    <w:p w14:paraId="287079DA" w14:textId="77777777" w:rsidR="000F07E2" w:rsidRDefault="000F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F404" w14:textId="5038AECF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067107" w:rsidRPr="00067107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F136A" w14:textId="77777777" w:rsidR="000F07E2" w:rsidRDefault="000F07E2">
      <w:r>
        <w:separator/>
      </w:r>
    </w:p>
  </w:footnote>
  <w:footnote w:type="continuationSeparator" w:id="0">
    <w:p w14:paraId="3EF8C79D" w14:textId="77777777" w:rsidR="000F07E2" w:rsidRDefault="000F07E2">
      <w:r>
        <w:continuationSeparator/>
      </w:r>
    </w:p>
  </w:footnote>
  <w:footnote w:id="1">
    <w:p w14:paraId="00A22575" w14:textId="2498904E" w:rsidR="001F7AEC" w:rsidRPr="001F7AEC" w:rsidRDefault="001F7AEC">
      <w:pPr>
        <w:pStyle w:val="Tekstprzypisudolnego"/>
        <w:rPr>
          <w:rFonts w:ascii="Open Sans" w:hAnsi="Open Sans" w:cs="Open Sans"/>
          <w:sz w:val="16"/>
          <w:szCs w:val="16"/>
        </w:rPr>
      </w:pPr>
      <w:r w:rsidRPr="001F7AE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F7AEC">
        <w:rPr>
          <w:rFonts w:ascii="Open Sans" w:hAnsi="Open Sans" w:cs="Open Sans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2">
    <w:p w14:paraId="3863DFB8" w14:textId="710FD75F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</w:t>
      </w:r>
      <w:r w:rsidR="001669F0">
        <w:rPr>
          <w:rFonts w:ascii="Open Sans Light" w:hAnsi="Open Sans Light" w:cs="Open Sans Light"/>
          <w:sz w:val="22"/>
          <w:szCs w:val="22"/>
        </w:rPr>
        <w:t xml:space="preserve">spełnia kryteria i został </w:t>
      </w:r>
      <w:r w:rsidRPr="00C2552A">
        <w:rPr>
          <w:rFonts w:ascii="Open Sans Light" w:hAnsi="Open Sans Light" w:cs="Open Sans Light"/>
          <w:sz w:val="22"/>
          <w:szCs w:val="22"/>
        </w:rPr>
        <w:t>skierowany do dalszej oceny/</w:t>
      </w:r>
      <w:r w:rsidR="001669F0">
        <w:rPr>
          <w:rFonts w:ascii="Open Sans Light" w:hAnsi="Open Sans Light" w:cs="Open Sans Light"/>
          <w:sz w:val="22"/>
          <w:szCs w:val="22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>projekt odrzucony/</w:t>
      </w:r>
      <w:r w:rsidR="001669F0">
        <w:rPr>
          <w:rFonts w:ascii="Open Sans Light" w:hAnsi="Open Sans Light" w:cs="Open Sans Light"/>
          <w:sz w:val="22"/>
          <w:szCs w:val="22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zwrot do </w:t>
      </w:r>
      <w:r w:rsidR="00EC00EE">
        <w:rPr>
          <w:rFonts w:ascii="Open Sans Light" w:hAnsi="Open Sans Light" w:cs="Open Sans Light"/>
          <w:sz w:val="22"/>
          <w:szCs w:val="22"/>
        </w:rPr>
        <w:t>wnioskodawcy</w:t>
      </w:r>
      <w:r w:rsidRPr="00C2552A">
        <w:rPr>
          <w:rFonts w:ascii="Open Sans Light" w:hAnsi="Open Sans Light" w:cs="Open Sans Light"/>
          <w:sz w:val="22"/>
          <w:szCs w:val="22"/>
        </w:rPr>
        <w:t xml:space="preserve"> 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6148">
    <w:abstractNumId w:val="2"/>
  </w:num>
  <w:num w:numId="2" w16cid:durableId="1541866498">
    <w:abstractNumId w:val="4"/>
  </w:num>
  <w:num w:numId="3" w16cid:durableId="2005818712">
    <w:abstractNumId w:val="0"/>
  </w:num>
  <w:num w:numId="4" w16cid:durableId="1493377307">
    <w:abstractNumId w:val="6"/>
  </w:num>
  <w:num w:numId="5" w16cid:durableId="1410422511">
    <w:abstractNumId w:val="1"/>
  </w:num>
  <w:num w:numId="6" w16cid:durableId="24916125">
    <w:abstractNumId w:val="7"/>
  </w:num>
  <w:num w:numId="7" w16cid:durableId="1543439611">
    <w:abstractNumId w:val="3"/>
  </w:num>
  <w:num w:numId="8" w16cid:durableId="133569534">
    <w:abstractNumId w:val="5"/>
  </w:num>
  <w:num w:numId="9" w16cid:durableId="160722986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107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669F0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1F7AEC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281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0E5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1142"/>
    <w:rsid w:val="00444F52"/>
    <w:rsid w:val="00445E0D"/>
    <w:rsid w:val="00447C6B"/>
    <w:rsid w:val="00450F62"/>
    <w:rsid w:val="004535B6"/>
    <w:rsid w:val="00455843"/>
    <w:rsid w:val="00456207"/>
    <w:rsid w:val="00460A8E"/>
    <w:rsid w:val="00461024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56C8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64634"/>
    <w:rsid w:val="00772CF9"/>
    <w:rsid w:val="007746BA"/>
    <w:rsid w:val="00775488"/>
    <w:rsid w:val="007771C1"/>
    <w:rsid w:val="00780E5B"/>
    <w:rsid w:val="0078251F"/>
    <w:rsid w:val="007B5224"/>
    <w:rsid w:val="007B57DE"/>
    <w:rsid w:val="007B7664"/>
    <w:rsid w:val="007C1DAF"/>
    <w:rsid w:val="007C36D5"/>
    <w:rsid w:val="007C3F9B"/>
    <w:rsid w:val="007D2064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445B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31F0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2B90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45C61"/>
    <w:rsid w:val="00C4723C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A6CB7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715F"/>
    <w:rsid w:val="00EC00EE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25C6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CF24-230A-4756-9E2A-74A6BAB7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830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Mikuszewski Dawid</cp:lastModifiedBy>
  <cp:revision>11</cp:revision>
  <cp:lastPrinted>2019-11-26T12:24:00Z</cp:lastPrinted>
  <dcterms:created xsi:type="dcterms:W3CDTF">2023-10-27T13:52:00Z</dcterms:created>
  <dcterms:modified xsi:type="dcterms:W3CDTF">2024-11-26T13:49:00Z</dcterms:modified>
</cp:coreProperties>
</file>